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405"/>
        <w:gridCol w:w="3636"/>
        <w:gridCol w:w="3021"/>
      </w:tblGrid>
      <w:tr w:rsidR="008845E1" w:rsidRPr="003A4612" w14:paraId="6494609C" w14:textId="77777777" w:rsidTr="001110C8">
        <w:tc>
          <w:tcPr>
            <w:tcW w:w="2405" w:type="dxa"/>
            <w:shd w:val="clear" w:color="auto" w:fill="auto"/>
          </w:tcPr>
          <w:p w14:paraId="73406730" w14:textId="77777777" w:rsidR="008845E1" w:rsidRPr="003A4612" w:rsidRDefault="008845E1" w:rsidP="001110C8">
            <w:pPr>
              <w:pStyle w:val="Glava"/>
              <w:rPr>
                <w:bCs/>
              </w:rPr>
            </w:pPr>
            <w:r w:rsidRPr="003A4612">
              <w:rPr>
                <w:bCs/>
                <w:noProof/>
              </w:rPr>
              <w:drawing>
                <wp:inline distT="0" distB="0" distL="0" distR="0" wp14:anchorId="7E839FE2" wp14:editId="1A999F22">
                  <wp:extent cx="1158240" cy="929640"/>
                  <wp:effectExtent l="0" t="0" r="3810" b="3810"/>
                  <wp:docPr id="1" name="Slika 1" descr="C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8240" cy="929640"/>
                          </a:xfrm>
                          <a:prstGeom prst="rect">
                            <a:avLst/>
                          </a:prstGeom>
                          <a:noFill/>
                          <a:ln>
                            <a:noFill/>
                          </a:ln>
                        </pic:spPr>
                      </pic:pic>
                    </a:graphicData>
                  </a:graphic>
                </wp:inline>
              </w:drawing>
            </w:r>
          </w:p>
        </w:tc>
        <w:tc>
          <w:tcPr>
            <w:tcW w:w="3636" w:type="dxa"/>
            <w:shd w:val="clear" w:color="auto" w:fill="auto"/>
          </w:tcPr>
          <w:p w14:paraId="08C38C29" w14:textId="77777777" w:rsidR="008845E1" w:rsidRPr="003A4612" w:rsidRDefault="008845E1" w:rsidP="001110C8">
            <w:pPr>
              <w:pStyle w:val="Glava"/>
              <w:rPr>
                <w:rFonts w:ascii="Arial" w:hAnsi="Arial" w:cs="Arial"/>
                <w:bCs/>
                <w:sz w:val="24"/>
                <w:szCs w:val="24"/>
              </w:rPr>
            </w:pPr>
          </w:p>
          <w:p w14:paraId="50E4ADC7" w14:textId="77777777" w:rsidR="008845E1" w:rsidRPr="003A4612" w:rsidRDefault="008845E1" w:rsidP="001110C8">
            <w:pPr>
              <w:pStyle w:val="Glava"/>
              <w:rPr>
                <w:rFonts w:ascii="Arial" w:hAnsi="Arial" w:cs="Arial"/>
                <w:bCs/>
                <w:sz w:val="24"/>
                <w:szCs w:val="24"/>
              </w:rPr>
            </w:pPr>
            <w:r w:rsidRPr="003A4612">
              <w:rPr>
                <w:rFonts w:ascii="Arial" w:hAnsi="Arial" w:cs="Arial"/>
                <w:bCs/>
                <w:sz w:val="24"/>
                <w:szCs w:val="24"/>
              </w:rPr>
              <w:t>CARAVANING CLUB SLOVENIJA</w:t>
            </w:r>
          </w:p>
          <w:p w14:paraId="6FEB7D90" w14:textId="77777777" w:rsidR="008845E1" w:rsidRPr="003A4612" w:rsidRDefault="008845E1" w:rsidP="001110C8">
            <w:pPr>
              <w:pStyle w:val="Glava"/>
              <w:rPr>
                <w:rFonts w:ascii="Arial" w:hAnsi="Arial" w:cs="Arial"/>
                <w:bCs/>
                <w:sz w:val="24"/>
                <w:szCs w:val="24"/>
              </w:rPr>
            </w:pPr>
            <w:r w:rsidRPr="003A4612">
              <w:rPr>
                <w:rFonts w:ascii="Arial" w:hAnsi="Arial" w:cs="Arial"/>
                <w:bCs/>
                <w:sz w:val="24"/>
                <w:szCs w:val="24"/>
              </w:rPr>
              <w:t>Jamova cesta 31</w:t>
            </w:r>
          </w:p>
          <w:p w14:paraId="383CE816" w14:textId="77777777" w:rsidR="008845E1" w:rsidRPr="003A4612" w:rsidRDefault="008845E1" w:rsidP="001110C8">
            <w:pPr>
              <w:pStyle w:val="Glava"/>
              <w:rPr>
                <w:rFonts w:ascii="Arial" w:hAnsi="Arial" w:cs="Arial"/>
                <w:bCs/>
                <w:sz w:val="24"/>
                <w:szCs w:val="24"/>
              </w:rPr>
            </w:pPr>
            <w:r w:rsidRPr="003A4612">
              <w:rPr>
                <w:rFonts w:ascii="Arial" w:hAnsi="Arial" w:cs="Arial"/>
                <w:bCs/>
                <w:sz w:val="24"/>
                <w:szCs w:val="24"/>
              </w:rPr>
              <w:t>1000 Ljubljana</w:t>
            </w:r>
          </w:p>
        </w:tc>
        <w:tc>
          <w:tcPr>
            <w:tcW w:w="3021" w:type="dxa"/>
            <w:shd w:val="clear" w:color="auto" w:fill="auto"/>
          </w:tcPr>
          <w:p w14:paraId="13A067B1" w14:textId="77777777" w:rsidR="008845E1" w:rsidRPr="003A4612" w:rsidRDefault="008845E1" w:rsidP="001110C8">
            <w:pPr>
              <w:pStyle w:val="Glava"/>
              <w:rPr>
                <w:rFonts w:ascii="Arial" w:hAnsi="Arial" w:cs="Arial"/>
                <w:bCs/>
                <w:sz w:val="24"/>
                <w:szCs w:val="24"/>
              </w:rPr>
            </w:pPr>
          </w:p>
          <w:p w14:paraId="0BB6A0A9" w14:textId="77777777" w:rsidR="008845E1" w:rsidRPr="003A4612" w:rsidRDefault="008845E1" w:rsidP="001110C8">
            <w:pPr>
              <w:pStyle w:val="Glava"/>
              <w:rPr>
                <w:rFonts w:ascii="Arial" w:hAnsi="Arial" w:cs="Arial"/>
                <w:bCs/>
                <w:sz w:val="24"/>
                <w:szCs w:val="24"/>
              </w:rPr>
            </w:pPr>
            <w:r w:rsidRPr="003A4612">
              <w:rPr>
                <w:rFonts w:ascii="Arial" w:hAnsi="Arial" w:cs="Arial"/>
                <w:bCs/>
                <w:sz w:val="24"/>
                <w:szCs w:val="24"/>
              </w:rPr>
              <w:t>www.ccs-si.com</w:t>
            </w:r>
          </w:p>
          <w:p w14:paraId="783E1F13" w14:textId="77777777" w:rsidR="008845E1" w:rsidRPr="003A4612" w:rsidRDefault="008845E1" w:rsidP="001110C8">
            <w:pPr>
              <w:pStyle w:val="Glava"/>
              <w:rPr>
                <w:rFonts w:ascii="Arial" w:hAnsi="Arial" w:cs="Arial"/>
                <w:bCs/>
                <w:sz w:val="24"/>
                <w:szCs w:val="24"/>
              </w:rPr>
            </w:pPr>
            <w:r w:rsidRPr="003A4612">
              <w:rPr>
                <w:rFonts w:ascii="Arial" w:hAnsi="Arial" w:cs="Arial"/>
                <w:bCs/>
                <w:sz w:val="24"/>
                <w:szCs w:val="24"/>
              </w:rPr>
              <w:t>tajnistvo.ccs@gmail.com</w:t>
            </w:r>
          </w:p>
          <w:p w14:paraId="023B1823" w14:textId="77777777" w:rsidR="008845E1" w:rsidRPr="00F105D9" w:rsidRDefault="008845E1" w:rsidP="001110C8">
            <w:pPr>
              <w:pStyle w:val="Glava"/>
              <w:rPr>
                <w:rFonts w:ascii="Arial" w:hAnsi="Arial" w:cs="Arial"/>
                <w:bCs/>
                <w:sz w:val="24"/>
                <w:szCs w:val="24"/>
              </w:rPr>
            </w:pPr>
            <w:r w:rsidRPr="00F105D9">
              <w:rPr>
                <w:rFonts w:ascii="Arial" w:hAnsi="Arial" w:cs="Arial"/>
                <w:bCs/>
                <w:sz w:val="24"/>
                <w:szCs w:val="24"/>
              </w:rPr>
              <w:t>telefon: 040 436 596</w:t>
            </w:r>
          </w:p>
          <w:p w14:paraId="3019B07C" w14:textId="77777777" w:rsidR="008845E1" w:rsidRPr="003A4612" w:rsidRDefault="008845E1" w:rsidP="001110C8">
            <w:pPr>
              <w:pStyle w:val="Glava"/>
              <w:rPr>
                <w:rFonts w:ascii="Arial" w:hAnsi="Arial" w:cs="Arial"/>
                <w:bCs/>
                <w:sz w:val="24"/>
                <w:szCs w:val="24"/>
              </w:rPr>
            </w:pPr>
            <w:r w:rsidRPr="00F105D9">
              <w:rPr>
                <w:rFonts w:ascii="Arial" w:hAnsi="Arial" w:cs="Arial"/>
                <w:bCs/>
                <w:sz w:val="24"/>
                <w:szCs w:val="24"/>
              </w:rPr>
              <w:t>davčna številka 17583705</w:t>
            </w:r>
          </w:p>
        </w:tc>
      </w:tr>
    </w:tbl>
    <w:p w14:paraId="2B4B302B" w14:textId="77777777" w:rsidR="008845E1" w:rsidRDefault="008845E1" w:rsidP="008845E1">
      <w:pPr>
        <w:pStyle w:val="Glava"/>
      </w:pPr>
    </w:p>
    <w:p w14:paraId="721D9094" w14:textId="77777777" w:rsidR="008845E1" w:rsidRDefault="008845E1"/>
    <w:p w14:paraId="115B6520" w14:textId="2ECC63CE" w:rsidR="00FD7528" w:rsidRDefault="007B3E58">
      <w:r>
        <w:t xml:space="preserve">                                                                                                     Portorož,05.02.2026</w:t>
      </w:r>
    </w:p>
    <w:p w14:paraId="4E7A5E3D" w14:textId="285C911B" w:rsidR="008A3B3D" w:rsidRDefault="008A3B3D">
      <w:pPr>
        <w:rPr>
          <w:rFonts w:ascii="Arial" w:hAnsi="Arial" w:cs="Arial"/>
        </w:rPr>
      </w:pPr>
      <w:r w:rsidRPr="008A3B3D">
        <w:rPr>
          <w:rFonts w:ascii="Arial" w:hAnsi="Arial" w:cs="Arial"/>
        </w:rPr>
        <w:t>Spoštovani</w:t>
      </w:r>
      <w:r>
        <w:rPr>
          <w:rFonts w:ascii="Arial" w:hAnsi="Arial" w:cs="Arial"/>
        </w:rPr>
        <w:t>,</w:t>
      </w:r>
    </w:p>
    <w:p w14:paraId="7452CB39" w14:textId="76ECC864" w:rsidR="001F139A" w:rsidRDefault="008A3B3D" w:rsidP="001F139A">
      <w:pPr>
        <w:pStyle w:val="Brezrazmikov"/>
      </w:pPr>
      <w:r>
        <w:t xml:space="preserve">Z ogorčenjem in razočaranjem smo sprejeli novico </w:t>
      </w:r>
      <w:r w:rsidR="001F139A">
        <w:t xml:space="preserve">o drastični in nerazumni ter </w:t>
      </w:r>
      <w:proofErr w:type="spellStart"/>
      <w:r w:rsidR="001F139A">
        <w:t>kontraproduktivni</w:t>
      </w:r>
      <w:proofErr w:type="spellEnd"/>
      <w:r w:rsidR="001F139A">
        <w:t xml:space="preserve"> </w:t>
      </w:r>
      <w:r w:rsidR="009826BC">
        <w:t>globi</w:t>
      </w:r>
      <w:r w:rsidR="001F139A">
        <w:t xml:space="preserve"> </w:t>
      </w:r>
      <w:proofErr w:type="spellStart"/>
      <w:r w:rsidR="001F139A">
        <w:t>biosferičnih</w:t>
      </w:r>
      <w:proofErr w:type="spellEnd"/>
      <w:r w:rsidR="001F139A">
        <w:t xml:space="preserve"> županov Posočja in Gorenjske, s katero</w:t>
      </w:r>
      <w:r w:rsidR="007B3E58">
        <w:t xml:space="preserve"> </w:t>
      </w:r>
      <w:r w:rsidR="001F139A">
        <w:t xml:space="preserve">želijo drastično povečati kaznovanje mobilnih turistov in jih s tem odvreči od obiska Slovenije. Tudi </w:t>
      </w:r>
      <w:proofErr w:type="spellStart"/>
      <w:r w:rsidR="001F139A">
        <w:t>avtodomarji</w:t>
      </w:r>
      <w:proofErr w:type="spellEnd"/>
      <w:r w:rsidR="001F139A">
        <w:t xml:space="preserve"> se zavzemamo za red in proti anarhiji na področju mobilnega turizma, vendar ne na tak način.</w:t>
      </w:r>
    </w:p>
    <w:p w14:paraId="599C38B0" w14:textId="6ED49FC9" w:rsidR="001F139A" w:rsidRDefault="001F139A" w:rsidP="001F139A">
      <w:pPr>
        <w:pStyle w:val="Brezrazmikov"/>
      </w:pPr>
      <w:r>
        <w:t xml:space="preserve">Iz njihovih odlokov je razbrati, da mobilnega turizma, ki se je lani </w:t>
      </w:r>
      <w:r w:rsidR="00FB6632">
        <w:t xml:space="preserve">mimogrede </w:t>
      </w:r>
      <w:r>
        <w:t>v EU povečal za 33</w:t>
      </w:r>
      <w:r w:rsidR="00FB6632">
        <w:t xml:space="preserve">%, ne poznajo, </w:t>
      </w:r>
      <w:r w:rsidR="00176016">
        <w:t xml:space="preserve">ker pa neznanje poraja </w:t>
      </w:r>
      <w:r w:rsidR="00FB6632">
        <w:t xml:space="preserve"> iracionalne rešitve</w:t>
      </w:r>
      <w:r w:rsidR="00D2324A">
        <w:t xml:space="preserve">, </w:t>
      </w:r>
      <w:r w:rsidR="00176016">
        <w:t>so te globe ene</w:t>
      </w:r>
      <w:r w:rsidR="00FB6632">
        <w:t xml:space="preserve"> izmed njih. </w:t>
      </w:r>
    </w:p>
    <w:p w14:paraId="38502C5A" w14:textId="1C52CE3A" w:rsidR="00FB6632" w:rsidRDefault="00FB6632" w:rsidP="001F139A">
      <w:pPr>
        <w:pStyle w:val="Brezrazmikov"/>
      </w:pPr>
      <w:r>
        <w:t>Ves trud, ki ga v promocijo mobilnega turizma vlaga tako Ministrstvo za gospodarstvo, turizem in šport, Slovenska turistična organizacija in nenazadnje tudi CCS</w:t>
      </w:r>
      <w:r w:rsidR="00D2324A">
        <w:t xml:space="preserve">, </w:t>
      </w:r>
      <w:r>
        <w:t>bo razvrednoten z eno samo neumno</w:t>
      </w:r>
      <w:r w:rsidR="00176016">
        <w:t>, iracionalno in nedoumljivo</w:t>
      </w:r>
      <w:r>
        <w:t xml:space="preserve"> potezo. Časi, ko so tuji gostje prihajali v </w:t>
      </w:r>
      <w:r w:rsidR="009826BC">
        <w:t>njihove</w:t>
      </w:r>
      <w:r>
        <w:t xml:space="preserve"> danes zaprte hotele in se na balkonu sončili po tri tedne</w:t>
      </w:r>
      <w:r w:rsidR="00D2324A">
        <w:t>,</w:t>
      </w:r>
      <w:r>
        <w:t xml:space="preserve"> so mimo. Danes se gost giblje iz kraja v kraj, da si lahko v kratkem času čim</w:t>
      </w:r>
      <w:r w:rsidR="00D2324A">
        <w:t xml:space="preserve"> </w:t>
      </w:r>
      <w:r>
        <w:t xml:space="preserve">več ogleda. Namesto , da bi </w:t>
      </w:r>
      <w:proofErr w:type="spellStart"/>
      <w:r>
        <w:t>biosferični</w:t>
      </w:r>
      <w:proofErr w:type="spellEnd"/>
      <w:r>
        <w:t xml:space="preserve"> župani ustvarili pogoje za razvoj turizma bodočnosti, </w:t>
      </w:r>
      <w:r w:rsidR="00176016">
        <w:t xml:space="preserve">oni </w:t>
      </w:r>
      <w:r>
        <w:t>istemu zabija</w:t>
      </w:r>
      <w:r w:rsidR="00176016">
        <w:t>jo</w:t>
      </w:r>
      <w:r>
        <w:t xml:space="preserve"> nož v hrbet in nalaga</w:t>
      </w:r>
      <w:r w:rsidR="00176016">
        <w:t>jo</w:t>
      </w:r>
      <w:r>
        <w:t xml:space="preserve"> svojim redarjem »čim</w:t>
      </w:r>
      <w:r w:rsidR="00D2324A">
        <w:t xml:space="preserve"> </w:t>
      </w:r>
      <w:r>
        <w:t xml:space="preserve">več v proračun«. </w:t>
      </w:r>
    </w:p>
    <w:p w14:paraId="22909E66" w14:textId="71AF36E4" w:rsidR="00DD161B" w:rsidRDefault="00FB6632" w:rsidP="001F139A">
      <w:pPr>
        <w:pStyle w:val="Brezrazmikov"/>
      </w:pPr>
      <w:r>
        <w:t>Nesprejemljivo je namreč</w:t>
      </w:r>
      <w:r w:rsidR="004E34B4">
        <w:t>, da bo gost ob obisku npr</w:t>
      </w:r>
      <w:r w:rsidR="00D2324A">
        <w:t>.</w:t>
      </w:r>
      <w:r w:rsidR="004E34B4">
        <w:t xml:space="preserve"> muzeja v </w:t>
      </w:r>
      <w:r w:rsidR="009826BC">
        <w:t>njihovi</w:t>
      </w:r>
      <w:r w:rsidR="004E34B4">
        <w:t xml:space="preserve"> občini bil </w:t>
      </w:r>
      <w:proofErr w:type="spellStart"/>
      <w:r w:rsidR="004E34B4">
        <w:t>prisiljem</w:t>
      </w:r>
      <w:proofErr w:type="spellEnd"/>
      <w:r w:rsidR="004E34B4">
        <w:t xml:space="preserve"> oditi v kamp, ker v bližini muzeja ni parkirišča</w:t>
      </w:r>
      <w:r w:rsidR="00D2324A">
        <w:t>,</w:t>
      </w:r>
      <w:r w:rsidR="004E34B4">
        <w:t xml:space="preserve"> kjer bi lahko parkiral avtodom. Ta obisk ga bo mimogrede stal 300€</w:t>
      </w:r>
      <w:r w:rsidR="00BC63CB">
        <w:t xml:space="preserve"> globe</w:t>
      </w:r>
      <w:r w:rsidR="004E34B4">
        <w:t xml:space="preserve"> + vstopnina. To je samo banalni primer, kaj se bo dogajalo</w:t>
      </w:r>
      <w:r w:rsidR="00BC63CB">
        <w:t xml:space="preserve"> in to samo zaradi nepoznavanja potreb mobilnega turizma. Župani, ki so se odločili za ta nesprejemljiv ukrep kaznovanja, predvsem pa odvračanja mobilnih turistov</w:t>
      </w:r>
      <w:r w:rsidR="00D2324A">
        <w:t>,</w:t>
      </w:r>
      <w:r w:rsidR="00BC63CB">
        <w:t xml:space="preserve"> ne vedo</w:t>
      </w:r>
      <w:r w:rsidR="00D2324A">
        <w:t xml:space="preserve">, </w:t>
      </w:r>
      <w:r w:rsidR="00BC63CB">
        <w:t>kaj je zaustavljanje vozila, kaj je parkiranje vozila, kaj in zakaj prenočevanje, vedo morda le</w:t>
      </w:r>
      <w:r w:rsidR="00D2324A">
        <w:t>,</w:t>
      </w:r>
      <w:r w:rsidR="00BC63CB">
        <w:t xml:space="preserve"> kaj je to kampiranje. Ta dejanja, </w:t>
      </w:r>
      <w:r w:rsidR="009826BC">
        <w:t>o</w:t>
      </w:r>
      <w:r w:rsidR="00BC63CB">
        <w:t xml:space="preserve"> kateri</w:t>
      </w:r>
      <w:r w:rsidR="009826BC">
        <w:t>h</w:t>
      </w:r>
      <w:r w:rsidR="00BC63CB">
        <w:t xml:space="preserve"> smo že 12.dec. 2025 obvestili vse relevantne</w:t>
      </w:r>
      <w:r w:rsidR="00D2324A">
        <w:t>,</w:t>
      </w:r>
      <w:r w:rsidR="00BC63CB">
        <w:t xml:space="preserve"> je </w:t>
      </w:r>
      <w:r w:rsidR="00DD161B">
        <w:t xml:space="preserve">nujno </w:t>
      </w:r>
      <w:r w:rsidR="00BC63CB">
        <w:t>potrebno uzakoniti</w:t>
      </w:r>
      <w:r w:rsidR="00DD161B">
        <w:t xml:space="preserve"> v izogib </w:t>
      </w:r>
      <w:r w:rsidR="007B3E58">
        <w:t xml:space="preserve">predlaganim </w:t>
      </w:r>
      <w:r w:rsidR="00DD161B">
        <w:t>nesmislom</w:t>
      </w:r>
      <w:r w:rsidR="007B3E58">
        <w:t xml:space="preserve"> s strani županov.</w:t>
      </w:r>
      <w:r w:rsidR="00DD161B">
        <w:t xml:space="preserve"> </w:t>
      </w:r>
      <w:r w:rsidR="009826BC">
        <w:t xml:space="preserve"> D</w:t>
      </w:r>
      <w:r w:rsidR="00DD161B">
        <w:t xml:space="preserve">ostavil </w:t>
      </w:r>
      <w:r w:rsidR="009826BC">
        <w:t xml:space="preserve">smo jim </w:t>
      </w:r>
      <w:r w:rsidR="00DD161B">
        <w:t xml:space="preserve">predlog, ki pomeni minimum pogojev za </w:t>
      </w:r>
      <w:r w:rsidR="00D2324A">
        <w:t>u</w:t>
      </w:r>
      <w:r w:rsidR="00DD161B">
        <w:t>reditev te tematike:</w:t>
      </w:r>
    </w:p>
    <w:p w14:paraId="44B39952" w14:textId="77777777" w:rsidR="00733632" w:rsidRDefault="00733632" w:rsidP="001F139A">
      <w:pPr>
        <w:pStyle w:val="Brezrazmikov"/>
      </w:pPr>
    </w:p>
    <w:p w14:paraId="25050968" w14:textId="4D23DB7B" w:rsidR="00733632" w:rsidRPr="00100080" w:rsidRDefault="00733632" w:rsidP="00733632">
      <w:pPr>
        <w:pStyle w:val="Brezrazmikov"/>
        <w:rPr>
          <w:b/>
          <w:bCs/>
        </w:rPr>
      </w:pPr>
      <w:r>
        <w:t>1.</w:t>
      </w:r>
      <w:r w:rsidRPr="00100080">
        <w:rPr>
          <w:b/>
          <w:bCs/>
        </w:rPr>
        <w:t xml:space="preserve">Kampiranje </w:t>
      </w:r>
      <w:r>
        <w:t xml:space="preserve">pomeni nastanitev v avtokampu ali </w:t>
      </w:r>
      <w:r w:rsidR="00D2324A">
        <w:t xml:space="preserve">na </w:t>
      </w:r>
      <w:r>
        <w:t xml:space="preserve">postajališču za avtodome PZA, kjer je kampiranje dovoljeno.(tu je stvar popolnoma jasna). Drugje razen v avtokampu in PZA kampiranje ni možno in se </w:t>
      </w:r>
      <w:r w:rsidRPr="00100080">
        <w:t>strogo sankcionira.</w:t>
      </w:r>
    </w:p>
    <w:p w14:paraId="4D46A230" w14:textId="77777777" w:rsidR="00733632" w:rsidRDefault="00733632" w:rsidP="00733632">
      <w:pPr>
        <w:pStyle w:val="Brezrazmikov"/>
      </w:pPr>
      <w:r>
        <w:t>Ni možno iz enostavnega razloga, saj bi po dikciji »ali na drugih zemljiščih z dovoljenjem lastnika« lahko prišlo do »divjega oddajanja parcel« oziroma parkirišča za avtodome brez ustreznih pogojev.</w:t>
      </w:r>
    </w:p>
    <w:p w14:paraId="29C8E940" w14:textId="77777777" w:rsidR="00733632" w:rsidRDefault="00733632" w:rsidP="00733632">
      <w:pPr>
        <w:pStyle w:val="Brezrazmikov"/>
      </w:pPr>
    </w:p>
    <w:p w14:paraId="1BA8FF9D" w14:textId="64E23B44" w:rsidR="00733632" w:rsidRDefault="00733632" w:rsidP="00733632">
      <w:pPr>
        <w:pStyle w:val="Brezrazmikov"/>
      </w:pPr>
      <w:r>
        <w:t xml:space="preserve">2. </w:t>
      </w:r>
      <w:r w:rsidRPr="00100080">
        <w:rPr>
          <w:b/>
          <w:bCs/>
        </w:rPr>
        <w:t>Prenočevanje</w:t>
      </w:r>
      <w:r>
        <w:t xml:space="preserve"> največ 10 ur bi lahko bilo dovoljeno na za to označenih parkiriščih, a samo v primerih</w:t>
      </w:r>
      <w:r w:rsidR="00D2324A">
        <w:t>,</w:t>
      </w:r>
      <w:r>
        <w:t xml:space="preserve"> da </w:t>
      </w:r>
      <w:r w:rsidR="00D2324A">
        <w:t xml:space="preserve">ima </w:t>
      </w:r>
      <w:r>
        <w:t>parkirano vozilo nameščeno parkirno uro in da se v vozilu nahaja voznik oziroma oseba usposobljena za vožnjo parkiranega vozila. Pri prenočevanju je prepovedano imeti izvlečeno vhodno stopnico avtodoma ali zunanje senčilo. Ravno tako ni možno postavljanje mize in stolov. Namen prenočevanja je zagotovitev počitka voznika pred nadaljevanjem vožnje. Prenočevanje ni možno v naravnih parkih in strogih centrih naselij.</w:t>
      </w:r>
    </w:p>
    <w:p w14:paraId="3D62E8D3" w14:textId="77777777" w:rsidR="00733632" w:rsidRDefault="00733632" w:rsidP="00733632">
      <w:pPr>
        <w:pStyle w:val="Brezrazmikov"/>
      </w:pPr>
    </w:p>
    <w:p w14:paraId="168AC8BD" w14:textId="1133724B" w:rsidR="00733632" w:rsidRDefault="00733632" w:rsidP="00733632">
      <w:pPr>
        <w:pStyle w:val="Brezrazmikov"/>
      </w:pPr>
      <w:r>
        <w:t>3.</w:t>
      </w:r>
      <w:r w:rsidRPr="00100080">
        <w:rPr>
          <w:b/>
          <w:bCs/>
        </w:rPr>
        <w:t>Parkiranje</w:t>
      </w:r>
      <w:r>
        <w:t xml:space="preserve"> avtodoma je možno samo na za to označenih parkirnih mestih z namenom obiska mestnih, kulturnih ali naravnih znamenitosti. Pri parkiranju mora biti </w:t>
      </w:r>
      <w:proofErr w:type="spellStart"/>
      <w:r>
        <w:t>izvlečna</w:t>
      </w:r>
      <w:proofErr w:type="spellEnd"/>
      <w:r>
        <w:t xml:space="preserve"> stopnica zaprta iz varnostnih razlogov, ravno tako ni možno odpreti zunanje</w:t>
      </w:r>
      <w:r w:rsidR="00D2324A">
        <w:t>ga</w:t>
      </w:r>
      <w:r>
        <w:t xml:space="preserve"> senčil</w:t>
      </w:r>
      <w:r w:rsidR="00D2324A">
        <w:t xml:space="preserve">a </w:t>
      </w:r>
      <w:r>
        <w:t xml:space="preserve">ali postaviti mizo in stole. Čas parkiranja </w:t>
      </w:r>
      <w:r w:rsidR="00D2324A">
        <w:t xml:space="preserve">je </w:t>
      </w:r>
      <w:r>
        <w:t>največ 6 ur.</w:t>
      </w:r>
    </w:p>
    <w:p w14:paraId="6543A538" w14:textId="77777777" w:rsidR="00733632" w:rsidRDefault="00733632" w:rsidP="00733632">
      <w:pPr>
        <w:pStyle w:val="Brezrazmikov"/>
      </w:pPr>
    </w:p>
    <w:p w14:paraId="6F2635C6" w14:textId="77777777" w:rsidR="00733632" w:rsidRDefault="00733632" w:rsidP="00733632">
      <w:pPr>
        <w:pStyle w:val="Brezrazmikov"/>
      </w:pPr>
      <w:r>
        <w:lastRenderedPageBreak/>
        <w:t>4.</w:t>
      </w:r>
      <w:r w:rsidRPr="00100080">
        <w:rPr>
          <w:b/>
          <w:bCs/>
        </w:rPr>
        <w:t>Zaustavljanje</w:t>
      </w:r>
      <w:r>
        <w:t xml:space="preserve"> avtodoma je možno le v primeru odhoda v trgovino, lekarno, zdravniku, turistično informacijski center . Ob zaustavitvi avtodoma naj voznik praviloma ne bi zapustil avtodoma, oziroma bi v avtodomu ostala oseba, ki je usposobljena za ravnanje z njim. Zaustavljanje lahko traja največ 3 ure. Obvezna je parkirna ura.</w:t>
      </w:r>
    </w:p>
    <w:p w14:paraId="54E5CC5F" w14:textId="77777777" w:rsidR="00733632" w:rsidRDefault="00733632" w:rsidP="001F139A">
      <w:pPr>
        <w:pStyle w:val="Brezrazmikov"/>
      </w:pPr>
    </w:p>
    <w:p w14:paraId="105ADF41" w14:textId="20958C77" w:rsidR="00FB6632" w:rsidRDefault="00BC63CB" w:rsidP="001F139A">
      <w:pPr>
        <w:pStyle w:val="Brezrazmikov"/>
      </w:pPr>
      <w:r>
        <w:t xml:space="preserve">S tem bi se izognili samovolji posameznikov, ki vsa ta dejanja mečejo v isti koš. Vedno in v vsakem trenutku je CCS pripravljen na sodelovanje pri dopolnitvi </w:t>
      </w:r>
      <w:r w:rsidR="007B3E58">
        <w:t xml:space="preserve">relevantne </w:t>
      </w:r>
      <w:r>
        <w:t>zakonodaje .</w:t>
      </w:r>
    </w:p>
    <w:p w14:paraId="31A8EF7B" w14:textId="228F437D" w:rsidR="00BC63CB" w:rsidRDefault="00733632" w:rsidP="001F139A">
      <w:pPr>
        <w:pStyle w:val="Brezrazmikov"/>
      </w:pPr>
      <w:r>
        <w:t xml:space="preserve">Sprašujemo se ali </w:t>
      </w:r>
      <w:r w:rsidR="00DD161B">
        <w:t>bomo</w:t>
      </w:r>
      <w:r>
        <w:t xml:space="preserve"> res</w:t>
      </w:r>
      <w:r w:rsidR="00DD161B">
        <w:t xml:space="preserve"> </w:t>
      </w:r>
      <w:r>
        <w:t>o</w:t>
      </w:r>
      <w:r w:rsidR="00176016">
        <w:t xml:space="preserve"> teh, nerazumnih potezah,</w:t>
      </w:r>
      <w:r w:rsidR="00DD161B">
        <w:t xml:space="preserve"> </w:t>
      </w:r>
      <w:r w:rsidR="00176016">
        <w:t xml:space="preserve">zaradi poštenih odnosov, prisiljeni obvestiti svetovno </w:t>
      </w:r>
      <w:proofErr w:type="spellStart"/>
      <w:r w:rsidR="00176016">
        <w:t>caravaning</w:t>
      </w:r>
      <w:proofErr w:type="spellEnd"/>
      <w:r w:rsidR="00176016">
        <w:t xml:space="preserve"> organizacijo F.I.C.C. v Bruslju in združenja </w:t>
      </w:r>
      <w:proofErr w:type="spellStart"/>
      <w:r w:rsidR="00176016">
        <w:t>caravaning</w:t>
      </w:r>
      <w:proofErr w:type="spellEnd"/>
      <w:r w:rsidR="00176016">
        <w:t xml:space="preserve"> klubov posameznih držav EU.  </w:t>
      </w:r>
    </w:p>
    <w:p w14:paraId="6D1CC668" w14:textId="265DD1C8" w:rsidR="00DD161B" w:rsidRDefault="00DD161B" w:rsidP="001F139A">
      <w:pPr>
        <w:pStyle w:val="Brezrazmikov"/>
      </w:pPr>
      <w:r>
        <w:t>S tem dopisom smo obvestili:</w:t>
      </w:r>
    </w:p>
    <w:p w14:paraId="7845BFCB" w14:textId="2980F0A6" w:rsidR="00DD161B" w:rsidRDefault="00DD161B" w:rsidP="001F139A">
      <w:pPr>
        <w:pStyle w:val="Brezrazmikov"/>
      </w:pPr>
      <w:r>
        <w:t>Državni zbor predsednica Urška Klakočar Župančič</w:t>
      </w:r>
    </w:p>
    <w:p w14:paraId="529CCC2C" w14:textId="4E83390E" w:rsidR="00DD161B" w:rsidRDefault="00DD161B" w:rsidP="001F139A">
      <w:pPr>
        <w:pStyle w:val="Brezrazmikov"/>
      </w:pPr>
      <w:r>
        <w:t>Ministrstvo za gospodarstvo minister Matjaž Han</w:t>
      </w:r>
    </w:p>
    <w:p w14:paraId="13F134C5" w14:textId="13E6384E" w:rsidR="00DD161B" w:rsidRDefault="00DD161B" w:rsidP="001F139A">
      <w:pPr>
        <w:pStyle w:val="Brezrazmikov"/>
      </w:pPr>
      <w:r>
        <w:t xml:space="preserve">STO direktorica Maja Pak </w:t>
      </w:r>
      <w:proofErr w:type="spellStart"/>
      <w:r>
        <w:t>Olaj</w:t>
      </w:r>
      <w:proofErr w:type="spellEnd"/>
    </w:p>
    <w:p w14:paraId="020AD6A4" w14:textId="243A6DD9" w:rsidR="00DD161B" w:rsidRDefault="00DD161B" w:rsidP="001F139A">
      <w:pPr>
        <w:pStyle w:val="Brezrazmikov"/>
      </w:pPr>
      <w:r>
        <w:t>Politične stranke zastopane v DZ</w:t>
      </w:r>
    </w:p>
    <w:p w14:paraId="7094F5A5" w14:textId="1DA0B6A7" w:rsidR="007B3E58" w:rsidRDefault="007B3E58" w:rsidP="001F139A">
      <w:pPr>
        <w:pStyle w:val="Brezrazmikov"/>
      </w:pPr>
    </w:p>
    <w:p w14:paraId="398BD3F3" w14:textId="5C476272" w:rsidR="007B3E58" w:rsidRDefault="007B3E58" w:rsidP="001F139A">
      <w:pPr>
        <w:pStyle w:val="Brezrazmikov"/>
      </w:pPr>
      <w:r>
        <w:t>S spoštovanjem</w:t>
      </w:r>
    </w:p>
    <w:p w14:paraId="3998988A" w14:textId="54972C57" w:rsidR="007B3E58" w:rsidRDefault="007B3E58" w:rsidP="001F139A">
      <w:pPr>
        <w:pStyle w:val="Brezrazmikov"/>
      </w:pPr>
      <w:r>
        <w:t>Podpredsednik CCS</w:t>
      </w:r>
    </w:p>
    <w:p w14:paraId="468CE810" w14:textId="0444DF61" w:rsidR="007B3E58" w:rsidRDefault="007B3E58" w:rsidP="001F139A">
      <w:pPr>
        <w:pStyle w:val="Brezrazmikov"/>
      </w:pPr>
      <w:r>
        <w:t>Luciano Milok</w:t>
      </w:r>
    </w:p>
    <w:p w14:paraId="03494B1D" w14:textId="6F75E875" w:rsidR="001F139A" w:rsidRPr="001F139A" w:rsidRDefault="001F139A">
      <w:pPr>
        <w:rPr>
          <w:rFonts w:ascii="Arial" w:hAnsi="Arial" w:cs="Arial"/>
        </w:rPr>
      </w:pPr>
    </w:p>
    <w:sectPr w:rsidR="001F139A" w:rsidRPr="001F13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4970" w14:textId="77777777" w:rsidR="00BB2CDB" w:rsidRDefault="00BB2CDB" w:rsidP="008A3B3D">
      <w:pPr>
        <w:spacing w:after="0" w:line="240" w:lineRule="auto"/>
      </w:pPr>
      <w:r>
        <w:separator/>
      </w:r>
    </w:p>
  </w:endnote>
  <w:endnote w:type="continuationSeparator" w:id="0">
    <w:p w14:paraId="41481787" w14:textId="77777777" w:rsidR="00BB2CDB" w:rsidRDefault="00BB2CDB" w:rsidP="008A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46459" w14:textId="77777777" w:rsidR="00BB2CDB" w:rsidRDefault="00BB2CDB" w:rsidP="008A3B3D">
      <w:pPr>
        <w:spacing w:after="0" w:line="240" w:lineRule="auto"/>
      </w:pPr>
      <w:r>
        <w:separator/>
      </w:r>
    </w:p>
  </w:footnote>
  <w:footnote w:type="continuationSeparator" w:id="0">
    <w:p w14:paraId="4A960992" w14:textId="77777777" w:rsidR="00BB2CDB" w:rsidRDefault="00BB2CDB" w:rsidP="008A3B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3D"/>
    <w:rsid w:val="00176016"/>
    <w:rsid w:val="001F139A"/>
    <w:rsid w:val="004E34B4"/>
    <w:rsid w:val="00733632"/>
    <w:rsid w:val="007B3E58"/>
    <w:rsid w:val="008845E1"/>
    <w:rsid w:val="008A3B3D"/>
    <w:rsid w:val="009826BC"/>
    <w:rsid w:val="00BB2CDB"/>
    <w:rsid w:val="00BC63CB"/>
    <w:rsid w:val="00D2324A"/>
    <w:rsid w:val="00DD161B"/>
    <w:rsid w:val="00FB6632"/>
    <w:rsid w:val="00FD75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8476"/>
  <w15:chartTrackingRefBased/>
  <w15:docId w15:val="{E199AD5B-C25D-49D5-8937-30C9806D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A3B3D"/>
    <w:pPr>
      <w:tabs>
        <w:tab w:val="center" w:pos="4536"/>
        <w:tab w:val="right" w:pos="9072"/>
      </w:tabs>
      <w:spacing w:after="0" w:line="240" w:lineRule="auto"/>
    </w:pPr>
  </w:style>
  <w:style w:type="character" w:customStyle="1" w:styleId="GlavaZnak">
    <w:name w:val="Glava Znak"/>
    <w:basedOn w:val="Privzetapisavaodstavka"/>
    <w:link w:val="Glava"/>
    <w:uiPriority w:val="99"/>
    <w:rsid w:val="008A3B3D"/>
  </w:style>
  <w:style w:type="paragraph" w:styleId="Noga">
    <w:name w:val="footer"/>
    <w:basedOn w:val="Navaden"/>
    <w:link w:val="NogaZnak"/>
    <w:uiPriority w:val="99"/>
    <w:unhideWhenUsed/>
    <w:rsid w:val="008A3B3D"/>
    <w:pPr>
      <w:tabs>
        <w:tab w:val="center" w:pos="4536"/>
        <w:tab w:val="right" w:pos="9072"/>
      </w:tabs>
      <w:spacing w:after="0" w:line="240" w:lineRule="auto"/>
    </w:pPr>
  </w:style>
  <w:style w:type="character" w:customStyle="1" w:styleId="NogaZnak">
    <w:name w:val="Noga Znak"/>
    <w:basedOn w:val="Privzetapisavaodstavka"/>
    <w:link w:val="Noga"/>
    <w:uiPriority w:val="99"/>
    <w:rsid w:val="008A3B3D"/>
  </w:style>
  <w:style w:type="paragraph" w:styleId="Brezrazmikov">
    <w:name w:val="No Spacing"/>
    <w:uiPriority w:val="1"/>
    <w:qFormat/>
    <w:rsid w:val="001F1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660</Words>
  <Characters>3766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dc:description/>
  <cp:lastModifiedBy>Luciano</cp:lastModifiedBy>
  <cp:revision>2</cp:revision>
  <dcterms:created xsi:type="dcterms:W3CDTF">2026-02-05T17:10:00Z</dcterms:created>
  <dcterms:modified xsi:type="dcterms:W3CDTF">2026-02-05T19:08:00Z</dcterms:modified>
</cp:coreProperties>
</file>